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1C" w:rsidRDefault="0068071C" w:rsidP="0068071C">
      <w:pPr>
        <w:pStyle w:val="3"/>
        <w:jc w:val="center"/>
      </w:pPr>
      <w:r>
        <w:t>Техническое задание</w:t>
      </w:r>
    </w:p>
    <w:p w:rsidR="0068071C" w:rsidRPr="00676753" w:rsidRDefault="0068071C" w:rsidP="0068071C">
      <w:pPr>
        <w:jc w:val="center"/>
        <w:rPr>
          <w:b/>
        </w:rPr>
      </w:pPr>
      <w:r w:rsidRPr="00676753">
        <w:rPr>
          <w:b/>
        </w:rPr>
        <w:t>на выполнение работ:</w:t>
      </w:r>
    </w:p>
    <w:p w:rsidR="0068071C" w:rsidRPr="00676753" w:rsidRDefault="0068071C" w:rsidP="0068071C">
      <w:pPr>
        <w:jc w:val="center"/>
        <w:rPr>
          <w:b/>
        </w:rPr>
      </w:pPr>
      <w:r w:rsidRPr="00676753">
        <w:rPr>
          <w:b/>
        </w:rPr>
        <w:t>п</w:t>
      </w:r>
      <w:r>
        <w:rPr>
          <w:b/>
        </w:rPr>
        <w:t xml:space="preserve">о регенерации катализаторов </w:t>
      </w:r>
      <w:r w:rsidRPr="00676753">
        <w:rPr>
          <w:b/>
        </w:rPr>
        <w:t xml:space="preserve"> </w:t>
      </w:r>
      <w:r>
        <w:rPr>
          <w:b/>
        </w:rPr>
        <w:t>«вне  реактора»</w:t>
      </w:r>
      <w:r w:rsidRPr="00676753">
        <w:rPr>
          <w:b/>
        </w:rPr>
        <w:t xml:space="preserve">     </w:t>
      </w:r>
    </w:p>
    <w:p w:rsidR="0068071C" w:rsidRDefault="0068071C" w:rsidP="0068071C">
      <w:pPr>
        <w:jc w:val="center"/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240"/>
        <w:gridCol w:w="6120"/>
      </w:tblGrid>
      <w:tr w:rsidR="0068071C" w:rsidRPr="00404666" w:rsidTr="008417E0">
        <w:tc>
          <w:tcPr>
            <w:tcW w:w="540" w:type="dxa"/>
          </w:tcPr>
          <w:p w:rsidR="0068071C" w:rsidRPr="00404666" w:rsidRDefault="0068071C" w:rsidP="008417E0">
            <w:r w:rsidRPr="00404666">
              <w:t>1.</w:t>
            </w:r>
          </w:p>
        </w:tc>
        <w:tc>
          <w:tcPr>
            <w:tcW w:w="3240" w:type="dxa"/>
          </w:tcPr>
          <w:p w:rsidR="0068071C" w:rsidRPr="00404666" w:rsidRDefault="0068071C" w:rsidP="008417E0">
            <w:pPr>
              <w:rPr>
                <w:b/>
              </w:rPr>
            </w:pPr>
            <w:r w:rsidRPr="00404666">
              <w:rPr>
                <w:b/>
              </w:rPr>
              <w:t>Наименование предприятия, Заказчика</w:t>
            </w:r>
          </w:p>
        </w:tc>
        <w:tc>
          <w:tcPr>
            <w:tcW w:w="6120" w:type="dxa"/>
          </w:tcPr>
          <w:p w:rsidR="0068071C" w:rsidRPr="00404666" w:rsidRDefault="0068071C" w:rsidP="008417E0">
            <w:r>
              <w:t>ОАО «Славнефть-ЯНОС»</w:t>
            </w:r>
          </w:p>
        </w:tc>
      </w:tr>
      <w:tr w:rsidR="0068071C" w:rsidRPr="00404666" w:rsidTr="008417E0">
        <w:tc>
          <w:tcPr>
            <w:tcW w:w="540" w:type="dxa"/>
          </w:tcPr>
          <w:p w:rsidR="0068071C" w:rsidRPr="00404666" w:rsidRDefault="0068071C" w:rsidP="008417E0">
            <w:r w:rsidRPr="00404666">
              <w:t>2.</w:t>
            </w:r>
          </w:p>
        </w:tc>
        <w:tc>
          <w:tcPr>
            <w:tcW w:w="3240" w:type="dxa"/>
          </w:tcPr>
          <w:p w:rsidR="0068071C" w:rsidRPr="00404666" w:rsidRDefault="0068071C" w:rsidP="008417E0">
            <w:pPr>
              <w:rPr>
                <w:b/>
              </w:rPr>
            </w:pPr>
            <w:r>
              <w:rPr>
                <w:b/>
              </w:rPr>
              <w:t xml:space="preserve">Срок </w:t>
            </w:r>
            <w:r w:rsidRPr="00404666">
              <w:rPr>
                <w:b/>
              </w:rPr>
              <w:t xml:space="preserve"> выполнения</w:t>
            </w:r>
            <w:r>
              <w:rPr>
                <w:b/>
              </w:rPr>
              <w:t xml:space="preserve"> работ</w:t>
            </w:r>
          </w:p>
        </w:tc>
        <w:tc>
          <w:tcPr>
            <w:tcW w:w="6120" w:type="dxa"/>
            <w:shd w:val="clear" w:color="auto" w:fill="auto"/>
          </w:tcPr>
          <w:p w:rsidR="0068071C" w:rsidRPr="00891D6E" w:rsidRDefault="0068071C" w:rsidP="008417E0">
            <w:r w:rsidRPr="00404666">
              <w:t xml:space="preserve"> </w:t>
            </w:r>
            <w:r>
              <w:t>июль - сентябрь  2017 г.</w:t>
            </w:r>
          </w:p>
        </w:tc>
      </w:tr>
      <w:tr w:rsidR="0068071C" w:rsidRPr="00404666" w:rsidTr="008417E0">
        <w:tc>
          <w:tcPr>
            <w:tcW w:w="540" w:type="dxa"/>
          </w:tcPr>
          <w:p w:rsidR="0068071C" w:rsidRPr="00404666" w:rsidRDefault="0068071C" w:rsidP="008417E0">
            <w:r w:rsidRPr="00404666">
              <w:t>3.</w:t>
            </w:r>
          </w:p>
        </w:tc>
        <w:tc>
          <w:tcPr>
            <w:tcW w:w="3240" w:type="dxa"/>
          </w:tcPr>
          <w:p w:rsidR="0068071C" w:rsidRPr="00404666" w:rsidRDefault="0068071C" w:rsidP="008417E0">
            <w:pPr>
              <w:rPr>
                <w:b/>
              </w:rPr>
            </w:pPr>
            <w:r w:rsidRPr="00404666">
              <w:rPr>
                <w:b/>
              </w:rPr>
              <w:t>Основание для выполнения работ</w:t>
            </w:r>
          </w:p>
        </w:tc>
        <w:tc>
          <w:tcPr>
            <w:tcW w:w="6120" w:type="dxa"/>
            <w:shd w:val="clear" w:color="auto" w:fill="auto"/>
          </w:tcPr>
          <w:p w:rsidR="0068071C" w:rsidRPr="00404666" w:rsidRDefault="0068071C" w:rsidP="008417E0">
            <w:pPr>
              <w:rPr>
                <w:highlight w:val="red"/>
              </w:rPr>
            </w:pPr>
            <w:r w:rsidRPr="004F13C4">
              <w:t>Бизнес-план ОАО «Славнефть-ЯНОС» на 2017 г.</w:t>
            </w:r>
          </w:p>
        </w:tc>
      </w:tr>
      <w:tr w:rsidR="0068071C" w:rsidRPr="00404666" w:rsidTr="008417E0">
        <w:tc>
          <w:tcPr>
            <w:tcW w:w="540" w:type="dxa"/>
          </w:tcPr>
          <w:p w:rsidR="0068071C" w:rsidRPr="00404666" w:rsidRDefault="0068071C" w:rsidP="008417E0">
            <w:r w:rsidRPr="00404666">
              <w:t xml:space="preserve">4. </w:t>
            </w:r>
          </w:p>
        </w:tc>
        <w:tc>
          <w:tcPr>
            <w:tcW w:w="3240" w:type="dxa"/>
          </w:tcPr>
          <w:p w:rsidR="0068071C" w:rsidRPr="00404666" w:rsidRDefault="0068071C" w:rsidP="008417E0">
            <w:pPr>
              <w:rPr>
                <w:b/>
              </w:rPr>
            </w:pPr>
            <w:r w:rsidRPr="00404666">
              <w:rPr>
                <w:b/>
              </w:rPr>
              <w:t>Наименование работ</w:t>
            </w:r>
          </w:p>
        </w:tc>
        <w:tc>
          <w:tcPr>
            <w:tcW w:w="6120" w:type="dxa"/>
            <w:shd w:val="clear" w:color="auto" w:fill="auto"/>
          </w:tcPr>
          <w:p w:rsidR="0068071C" w:rsidRDefault="0068071C" w:rsidP="008417E0">
            <w:r w:rsidRPr="00404666">
              <w:t>Услуги по   регенерации катализатор</w:t>
            </w:r>
            <w:r>
              <w:t>ов</w:t>
            </w:r>
            <w:r w:rsidRPr="00404666">
              <w:t xml:space="preserve"> Заказчика </w:t>
            </w:r>
          </w:p>
          <w:p w:rsidR="0068071C" w:rsidRPr="007C0D13" w:rsidRDefault="0068071C" w:rsidP="008417E0">
            <w:r w:rsidRPr="0021685C">
              <w:t xml:space="preserve">-август 2017 года в </w:t>
            </w:r>
            <w:r w:rsidRPr="007C0D13">
              <w:t xml:space="preserve">объёме 160 432 кг, </w:t>
            </w:r>
            <w:proofErr w:type="gramStart"/>
            <w:r w:rsidRPr="007C0D13">
              <w:t>с</w:t>
            </w:r>
            <w:proofErr w:type="gramEnd"/>
            <w:r w:rsidRPr="007C0D13">
              <w:t xml:space="preserve">:                  </w:t>
            </w:r>
          </w:p>
          <w:p w:rsidR="0068071C" w:rsidRPr="007C0D13" w:rsidRDefault="0068071C" w:rsidP="008417E0">
            <w:r w:rsidRPr="007C0D13">
              <w:t>1-го блока  установки Л-24/6 из  реакторов Р</w:t>
            </w:r>
            <w:proofErr w:type="gramStart"/>
            <w:r w:rsidRPr="007C0D13">
              <w:t>1</w:t>
            </w:r>
            <w:proofErr w:type="gramEnd"/>
            <w:r w:rsidRPr="007C0D13">
              <w:t xml:space="preserve">,P2N,Р6N, установки ГОБ из реакторов </w:t>
            </w:r>
            <w:r w:rsidRPr="007C0D13">
              <w:rPr>
                <w:lang w:val="en-US"/>
              </w:rPr>
              <w:t>R</w:t>
            </w:r>
            <w:r w:rsidRPr="007C0D13">
              <w:t xml:space="preserve">-101, </w:t>
            </w:r>
            <w:r w:rsidRPr="007C0D13">
              <w:rPr>
                <w:lang w:val="en-US"/>
              </w:rPr>
              <w:t>R</w:t>
            </w:r>
            <w:r w:rsidRPr="007C0D13">
              <w:t xml:space="preserve"> -201, </w:t>
            </w:r>
            <w:r w:rsidRPr="007C0D13">
              <w:rPr>
                <w:lang w:val="en-US"/>
              </w:rPr>
              <w:t>R</w:t>
            </w:r>
            <w:r w:rsidRPr="007C0D13">
              <w:t xml:space="preserve"> -202;</w:t>
            </w:r>
          </w:p>
          <w:p w:rsidR="0068071C" w:rsidRPr="00404666" w:rsidRDefault="0068071C" w:rsidP="008417E0">
            <w:r w:rsidRPr="007C0D13">
              <w:t>-сентябрь в объёме 139 400 кг,  с  установки</w:t>
            </w:r>
            <w:r w:rsidRPr="0021685C">
              <w:t xml:space="preserve"> ГК  из реакторов Р-111/1А, Р-111/2А, Р-121/1А, Р</w:t>
            </w:r>
            <w:r w:rsidRPr="00080716">
              <w:t>-</w:t>
            </w:r>
            <w:r w:rsidRPr="0021685C">
              <w:t>121/2А (нитка А).</w:t>
            </w:r>
          </w:p>
        </w:tc>
      </w:tr>
      <w:tr w:rsidR="0068071C" w:rsidRPr="00404666" w:rsidTr="008417E0">
        <w:tc>
          <w:tcPr>
            <w:tcW w:w="540" w:type="dxa"/>
          </w:tcPr>
          <w:p w:rsidR="0068071C" w:rsidRPr="00404666" w:rsidRDefault="0068071C" w:rsidP="008417E0">
            <w:r w:rsidRPr="00404666">
              <w:t>5.</w:t>
            </w:r>
          </w:p>
        </w:tc>
        <w:tc>
          <w:tcPr>
            <w:tcW w:w="3240" w:type="dxa"/>
          </w:tcPr>
          <w:p w:rsidR="0068071C" w:rsidRPr="00404666" w:rsidRDefault="0068071C" w:rsidP="008417E0">
            <w:pPr>
              <w:rPr>
                <w:b/>
              </w:rPr>
            </w:pPr>
            <w:r w:rsidRPr="00404666">
              <w:rPr>
                <w:b/>
              </w:rPr>
              <w:t xml:space="preserve">Перечень выполняемых работ  </w:t>
            </w:r>
          </w:p>
        </w:tc>
        <w:tc>
          <w:tcPr>
            <w:tcW w:w="6120" w:type="dxa"/>
          </w:tcPr>
          <w:p w:rsidR="0068071C" w:rsidRPr="00A25522" w:rsidRDefault="0068071C" w:rsidP="008417E0">
            <w:pPr>
              <w:jc w:val="both"/>
            </w:pPr>
            <w:r>
              <w:t>5.1</w:t>
            </w:r>
            <w:r w:rsidRPr="00A25522">
              <w:t xml:space="preserve">. Хранение поступившего </w:t>
            </w:r>
            <w:proofErr w:type="spellStart"/>
            <w:r w:rsidRPr="00A25522">
              <w:t>нерегенерированного</w:t>
            </w:r>
            <w:proofErr w:type="spellEnd"/>
            <w:r w:rsidRPr="00A25522">
              <w:t xml:space="preserve"> кат</w:t>
            </w:r>
            <w:r>
              <w:t>ализатора на складе Исполнителя.</w:t>
            </w:r>
          </w:p>
          <w:p w:rsidR="0068071C" w:rsidRPr="00A25522" w:rsidRDefault="0068071C" w:rsidP="008417E0">
            <w:pPr>
              <w:jc w:val="both"/>
            </w:pPr>
            <w:r w:rsidRPr="00A25522">
              <w:t>5.</w:t>
            </w:r>
            <w:r>
              <w:t>2</w:t>
            </w:r>
            <w:r w:rsidRPr="00A25522">
              <w:t xml:space="preserve">. Входной контроль поступившего </w:t>
            </w:r>
            <w:proofErr w:type="spellStart"/>
            <w:r w:rsidRPr="00A25522">
              <w:t>нерегенерированного</w:t>
            </w:r>
            <w:proofErr w:type="spellEnd"/>
            <w:r w:rsidRPr="00A25522">
              <w:t xml:space="preserve"> катализатора: </w:t>
            </w:r>
          </w:p>
          <w:p w:rsidR="0068071C" w:rsidRPr="00A25522" w:rsidRDefault="0068071C" w:rsidP="0068071C">
            <w:pPr>
              <w:numPr>
                <w:ilvl w:val="0"/>
                <w:numId w:val="1"/>
              </w:numPr>
              <w:jc w:val="both"/>
            </w:pPr>
            <w:r w:rsidRPr="00A25522">
              <w:t>Составление акта о сост</w:t>
            </w:r>
            <w:r>
              <w:t xml:space="preserve">оянии и отбраковки тары (бочек, </w:t>
            </w:r>
            <w:proofErr w:type="spellStart"/>
            <w:r w:rsidRPr="00A25522">
              <w:t>спецемкостей</w:t>
            </w:r>
            <w:proofErr w:type="spellEnd"/>
            <w:r w:rsidRPr="00A25522">
              <w:t>), поддонов для  возможности дальнейшего использования (возвратная тара);</w:t>
            </w:r>
          </w:p>
          <w:p w:rsidR="0068071C" w:rsidRPr="00E6523F" w:rsidRDefault="0068071C" w:rsidP="0068071C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E6523F">
              <w:rPr>
                <w:color w:val="000000"/>
              </w:rPr>
              <w:t xml:space="preserve">Определение веса (брутто/нетто) поступившего </w:t>
            </w:r>
            <w:proofErr w:type="spellStart"/>
            <w:r w:rsidRPr="00E6523F">
              <w:rPr>
                <w:color w:val="000000"/>
              </w:rPr>
              <w:t>нерегенерированного</w:t>
            </w:r>
            <w:proofErr w:type="spellEnd"/>
            <w:r w:rsidRPr="00E6523F">
              <w:rPr>
                <w:color w:val="000000"/>
              </w:rPr>
              <w:t xml:space="preserve"> катализатора на весах Исполнителя; </w:t>
            </w:r>
          </w:p>
          <w:p w:rsidR="0068071C" w:rsidRPr="00A25522" w:rsidRDefault="0068071C" w:rsidP="0068071C">
            <w:pPr>
              <w:numPr>
                <w:ilvl w:val="0"/>
                <w:numId w:val="1"/>
              </w:numPr>
              <w:jc w:val="both"/>
            </w:pPr>
            <w:r w:rsidRPr="00A25522">
              <w:t xml:space="preserve">Отбор представительных проб  поступившего </w:t>
            </w:r>
            <w:proofErr w:type="spellStart"/>
            <w:r w:rsidRPr="00A25522">
              <w:t>нерегенерированного</w:t>
            </w:r>
            <w:proofErr w:type="spellEnd"/>
            <w:r w:rsidRPr="00A25522">
              <w:t xml:space="preserve"> катализатора;</w:t>
            </w:r>
          </w:p>
          <w:p w:rsidR="0068071C" w:rsidRDefault="0068071C" w:rsidP="0068071C">
            <w:pPr>
              <w:numPr>
                <w:ilvl w:val="0"/>
                <w:numId w:val="1"/>
              </w:numPr>
              <w:jc w:val="both"/>
            </w:pPr>
            <w:r w:rsidRPr="00A25522">
              <w:t xml:space="preserve"> </w:t>
            </w:r>
            <w:r>
              <w:t xml:space="preserve">Проведение </w:t>
            </w:r>
            <w:r w:rsidRPr="00A25522">
              <w:t>химического анализа проб катализатора до  регенерации по следующим показателям:</w:t>
            </w:r>
          </w:p>
          <w:p w:rsidR="0068071C" w:rsidRPr="00D35FBD" w:rsidRDefault="0068071C" w:rsidP="0068071C">
            <w:pPr>
              <w:numPr>
                <w:ilvl w:val="0"/>
                <w:numId w:val="1"/>
              </w:numPr>
              <w:jc w:val="both"/>
            </w:pPr>
            <w:r w:rsidRPr="00D35FBD">
              <w:t>Потери при экстракции (</w:t>
            </w:r>
            <w:proofErr w:type="spellStart"/>
            <w:r w:rsidRPr="00D35FBD">
              <w:t>Сокслета</w:t>
            </w:r>
            <w:proofErr w:type="spellEnd"/>
            <w:r w:rsidRPr="00D35FBD">
              <w:t>) для отработанного материала;</w:t>
            </w:r>
          </w:p>
          <w:p w:rsidR="0068071C" w:rsidRPr="00D35FBD" w:rsidRDefault="0068071C" w:rsidP="0068071C">
            <w:pPr>
              <w:numPr>
                <w:ilvl w:val="0"/>
                <w:numId w:val="1"/>
              </w:numPr>
              <w:jc w:val="both"/>
            </w:pPr>
            <w:r w:rsidRPr="00D35FBD">
              <w:t>Тест на дым;</w:t>
            </w:r>
          </w:p>
          <w:p w:rsidR="0068071C" w:rsidRPr="00D35FBD" w:rsidRDefault="0068071C" w:rsidP="0068071C">
            <w:pPr>
              <w:numPr>
                <w:ilvl w:val="0"/>
                <w:numId w:val="1"/>
              </w:numPr>
              <w:jc w:val="both"/>
            </w:pPr>
            <w:r w:rsidRPr="00D35FBD">
              <w:t>Определение массовой доли серы;</w:t>
            </w:r>
          </w:p>
          <w:p w:rsidR="0068071C" w:rsidRPr="00D35FBD" w:rsidRDefault="0068071C" w:rsidP="0068071C">
            <w:pPr>
              <w:numPr>
                <w:ilvl w:val="0"/>
                <w:numId w:val="1"/>
              </w:numPr>
              <w:jc w:val="both"/>
            </w:pPr>
            <w:r w:rsidRPr="00D35FBD">
              <w:t>Определение массовой доли углерода;</w:t>
            </w:r>
          </w:p>
          <w:p w:rsidR="0068071C" w:rsidRPr="00D35FBD" w:rsidRDefault="0068071C" w:rsidP="0068071C">
            <w:pPr>
              <w:numPr>
                <w:ilvl w:val="0"/>
                <w:numId w:val="1"/>
              </w:numPr>
              <w:jc w:val="both"/>
            </w:pPr>
            <w:r w:rsidRPr="00D35FBD">
              <w:t>Определение массовой доли потерь при прокаливании (при 480°С);</w:t>
            </w:r>
          </w:p>
          <w:p w:rsidR="0068071C" w:rsidRPr="00D35FBD" w:rsidRDefault="0068071C" w:rsidP="0068071C">
            <w:pPr>
              <w:numPr>
                <w:ilvl w:val="0"/>
                <w:numId w:val="1"/>
              </w:numPr>
              <w:jc w:val="both"/>
            </w:pPr>
            <w:r w:rsidRPr="00D35FBD">
              <w:t>Термогравиметрический анализ;</w:t>
            </w:r>
          </w:p>
          <w:p w:rsidR="0068071C" w:rsidRPr="00D35FBD" w:rsidRDefault="0068071C" w:rsidP="0068071C">
            <w:pPr>
              <w:numPr>
                <w:ilvl w:val="0"/>
                <w:numId w:val="1"/>
              </w:numPr>
              <w:jc w:val="both"/>
            </w:pPr>
            <w:r w:rsidRPr="00D35FBD">
              <w:t>Определение размера гранул: длина;</w:t>
            </w:r>
          </w:p>
          <w:p w:rsidR="0068071C" w:rsidRPr="00A25522" w:rsidRDefault="0068071C" w:rsidP="0068071C">
            <w:pPr>
              <w:numPr>
                <w:ilvl w:val="0"/>
                <w:numId w:val="1"/>
              </w:numPr>
              <w:jc w:val="both"/>
            </w:pPr>
            <w:r w:rsidRPr="00D35FBD">
              <w:t>Определение массовой доли частиц размером менее 1 мм.</w:t>
            </w:r>
          </w:p>
          <w:p w:rsidR="0068071C" w:rsidRDefault="0068071C" w:rsidP="0068071C">
            <w:pPr>
              <w:numPr>
                <w:ilvl w:val="0"/>
                <w:numId w:val="1"/>
              </w:numPr>
              <w:jc w:val="both"/>
            </w:pPr>
            <w:r w:rsidRPr="00A25522">
              <w:t>Проведение лабораторной регенерации и оценка качества</w:t>
            </w:r>
            <w:r>
              <w:t xml:space="preserve"> </w:t>
            </w:r>
            <w:r w:rsidRPr="00E6523F">
              <w:rPr>
                <w:color w:val="000000"/>
              </w:rPr>
              <w:t xml:space="preserve">регенерированного </w:t>
            </w:r>
            <w:r w:rsidRPr="00A25522">
              <w:t xml:space="preserve">катализатора по следующим показателям: </w:t>
            </w:r>
          </w:p>
          <w:p w:rsidR="0068071C" w:rsidRDefault="0068071C" w:rsidP="008417E0">
            <w:pPr>
              <w:ind w:left="720"/>
              <w:jc w:val="both"/>
            </w:pPr>
            <w:r>
              <w:t>-</w:t>
            </w:r>
            <w:r>
              <w:tab/>
              <w:t>Определение массовой доли серы;</w:t>
            </w:r>
          </w:p>
          <w:p w:rsidR="0068071C" w:rsidRDefault="0068071C" w:rsidP="008417E0">
            <w:pPr>
              <w:ind w:left="720"/>
              <w:jc w:val="both"/>
            </w:pPr>
            <w:r>
              <w:t>-</w:t>
            </w:r>
            <w:r>
              <w:tab/>
              <w:t>Определение массовой доли углерода;</w:t>
            </w:r>
          </w:p>
          <w:p w:rsidR="0068071C" w:rsidRDefault="0068071C" w:rsidP="008417E0">
            <w:pPr>
              <w:ind w:left="720"/>
              <w:jc w:val="both"/>
            </w:pPr>
            <w:r>
              <w:t>-</w:t>
            </w:r>
            <w:r>
              <w:tab/>
              <w:t>Определение массовой доли потерь при прокаливании (при 550°С);</w:t>
            </w:r>
          </w:p>
          <w:p w:rsidR="0068071C" w:rsidRDefault="0068071C" w:rsidP="008417E0">
            <w:pPr>
              <w:ind w:left="720"/>
              <w:jc w:val="both"/>
            </w:pPr>
            <w:r>
              <w:t>-</w:t>
            </w:r>
            <w:r>
              <w:tab/>
              <w:t xml:space="preserve">Определение удельной поверхности, </w:t>
            </w:r>
            <w:r>
              <w:lastRenderedPageBreak/>
              <w:t>объема пор, среднего радиуса пор по азоту;</w:t>
            </w:r>
          </w:p>
          <w:p w:rsidR="0068071C" w:rsidRDefault="0068071C" w:rsidP="008417E0">
            <w:pPr>
              <w:ind w:left="720"/>
              <w:jc w:val="both"/>
            </w:pPr>
            <w:r>
              <w:t>-</w:t>
            </w:r>
            <w:r>
              <w:tab/>
              <w:t>Определение размера гранул: длина;</w:t>
            </w:r>
          </w:p>
          <w:p w:rsidR="0068071C" w:rsidRDefault="0068071C" w:rsidP="008417E0">
            <w:pPr>
              <w:ind w:left="720"/>
              <w:jc w:val="both"/>
            </w:pPr>
            <w:r>
              <w:t>-</w:t>
            </w:r>
            <w:r>
              <w:tab/>
              <w:t>Определение массовой доли частиц размером менее 1 мм;</w:t>
            </w:r>
          </w:p>
          <w:p w:rsidR="0068071C" w:rsidRDefault="0068071C" w:rsidP="008417E0">
            <w:pPr>
              <w:ind w:left="720"/>
              <w:jc w:val="both"/>
            </w:pPr>
            <w:r>
              <w:t>-</w:t>
            </w:r>
            <w:r>
              <w:tab/>
              <w:t>Определение прочности на раздавливание на плоской плите;</w:t>
            </w:r>
          </w:p>
          <w:p w:rsidR="0068071C" w:rsidRDefault="0068071C" w:rsidP="008417E0">
            <w:pPr>
              <w:ind w:left="720"/>
              <w:jc w:val="both"/>
            </w:pPr>
            <w:r>
              <w:tab/>
              <w:t>Определение объёмной прочности;</w:t>
            </w:r>
          </w:p>
          <w:p w:rsidR="0068071C" w:rsidRDefault="0068071C" w:rsidP="008417E0">
            <w:pPr>
              <w:ind w:left="720"/>
              <w:jc w:val="both"/>
            </w:pPr>
            <w:r>
              <w:tab/>
              <w:t>Определение насыпной плотности;</w:t>
            </w:r>
          </w:p>
          <w:p w:rsidR="0068071C" w:rsidRPr="00A25522" w:rsidRDefault="0068071C" w:rsidP="008417E0">
            <w:pPr>
              <w:ind w:left="720"/>
              <w:jc w:val="both"/>
            </w:pPr>
            <w:r>
              <w:t>-</w:t>
            </w:r>
            <w:r>
              <w:tab/>
              <w:t>Определение химического состава.</w:t>
            </w:r>
          </w:p>
          <w:p w:rsidR="0068071C" w:rsidRPr="00A25522" w:rsidRDefault="0068071C" w:rsidP="0068071C">
            <w:pPr>
              <w:numPr>
                <w:ilvl w:val="0"/>
                <w:numId w:val="1"/>
              </w:numPr>
              <w:jc w:val="both"/>
            </w:pPr>
            <w:r w:rsidRPr="00A25522">
              <w:t xml:space="preserve">Составление предварительного материального баланса поступившего </w:t>
            </w:r>
            <w:proofErr w:type="spellStart"/>
            <w:r w:rsidRPr="00A25522">
              <w:t>нерегенерированного</w:t>
            </w:r>
            <w:proofErr w:type="spellEnd"/>
            <w:r w:rsidRPr="00A25522">
              <w:t xml:space="preserve"> катализатора на основании акта взвешивания и протоколов лабораторных анализов и исследований, выполненных Исполнителем</w:t>
            </w:r>
            <w:r>
              <w:t>.</w:t>
            </w:r>
          </w:p>
          <w:p w:rsidR="0068071C" w:rsidRPr="00A25522" w:rsidRDefault="0068071C" w:rsidP="008417E0">
            <w:pPr>
              <w:jc w:val="both"/>
            </w:pPr>
            <w:r w:rsidRPr="00A25522">
              <w:t>5.</w:t>
            </w:r>
            <w:r>
              <w:t>3</w:t>
            </w:r>
            <w:r w:rsidRPr="00A25522">
              <w:t>.</w:t>
            </w:r>
            <w:r>
              <w:t xml:space="preserve">  </w:t>
            </w:r>
            <w:r w:rsidRPr="00A25522">
              <w:t>Регенерация катализатора по технологии и на оборудовании Исполнителя:</w:t>
            </w:r>
          </w:p>
          <w:p w:rsidR="0068071C" w:rsidRPr="00A25522" w:rsidRDefault="0068071C" w:rsidP="0068071C">
            <w:pPr>
              <w:numPr>
                <w:ilvl w:val="0"/>
                <w:numId w:val="1"/>
              </w:numPr>
              <w:jc w:val="both"/>
            </w:pPr>
            <w:r w:rsidRPr="00A25522">
              <w:t xml:space="preserve">Входной рассев поступившего </w:t>
            </w:r>
            <w:proofErr w:type="spellStart"/>
            <w:r w:rsidRPr="00A25522">
              <w:t>нерегенерированного</w:t>
            </w:r>
            <w:proofErr w:type="spellEnd"/>
            <w:r w:rsidRPr="00A25522">
              <w:t xml:space="preserve"> катализатора  для удаления крошки, пыли и инертных материалов;</w:t>
            </w:r>
          </w:p>
          <w:p w:rsidR="0068071C" w:rsidRPr="00A25522" w:rsidRDefault="0068071C" w:rsidP="0068071C">
            <w:pPr>
              <w:numPr>
                <w:ilvl w:val="0"/>
                <w:numId w:val="1"/>
              </w:numPr>
              <w:jc w:val="both"/>
            </w:pPr>
            <w:r w:rsidRPr="00A25522">
              <w:t xml:space="preserve">Регенерация катализатора. Предельная температура при выжиге кокса -   не выше </w:t>
            </w:r>
            <w:r w:rsidRPr="00E6523F">
              <w:rPr>
                <w:color w:val="000000"/>
              </w:rPr>
              <w:t xml:space="preserve">450 </w:t>
            </w:r>
            <w:r w:rsidRPr="00E6523F">
              <w:rPr>
                <w:color w:val="000000"/>
                <w:vertAlign w:val="superscript"/>
              </w:rPr>
              <w:t>0</w:t>
            </w:r>
            <w:proofErr w:type="gramStart"/>
            <w:r w:rsidRPr="00E6523F">
              <w:rPr>
                <w:color w:val="000000"/>
                <w:vertAlign w:val="superscript"/>
              </w:rPr>
              <w:t xml:space="preserve"> </w:t>
            </w:r>
            <w:r w:rsidRPr="00E6523F">
              <w:rPr>
                <w:color w:val="000000"/>
              </w:rPr>
              <w:t>С</w:t>
            </w:r>
            <w:proofErr w:type="gramEnd"/>
            <w:r w:rsidRPr="00E6523F">
              <w:rPr>
                <w:color w:val="000000"/>
              </w:rPr>
              <w:t>;</w:t>
            </w:r>
          </w:p>
          <w:p w:rsidR="0068071C" w:rsidRPr="00A25522" w:rsidRDefault="0068071C" w:rsidP="0068071C">
            <w:pPr>
              <w:numPr>
                <w:ilvl w:val="0"/>
                <w:numId w:val="1"/>
              </w:numPr>
              <w:jc w:val="both"/>
            </w:pPr>
            <w:r w:rsidRPr="00A25522">
              <w:t>Финальный рассев регенерированного катализатора для удаления пыли и крошки;</w:t>
            </w:r>
          </w:p>
          <w:p w:rsidR="0068071C" w:rsidRPr="00A25522" w:rsidRDefault="0068071C" w:rsidP="0068071C">
            <w:pPr>
              <w:numPr>
                <w:ilvl w:val="0"/>
                <w:numId w:val="1"/>
              </w:numPr>
              <w:jc w:val="both"/>
            </w:pPr>
            <w:r w:rsidRPr="00A25522">
              <w:t xml:space="preserve">Взвешивание, упаковка катализатора и продуктов входного и финального </w:t>
            </w:r>
            <w:r>
              <w:t>рассева</w:t>
            </w:r>
            <w:r w:rsidRPr="00A25522">
              <w:t xml:space="preserve">  в возвратную тару Заказчика (200 литровые металлические бочки с </w:t>
            </w:r>
            <w:proofErr w:type="spellStart"/>
            <w:proofErr w:type="gramStart"/>
            <w:r w:rsidRPr="00A25522">
              <w:t>п</w:t>
            </w:r>
            <w:proofErr w:type="spellEnd"/>
            <w:proofErr w:type="gramEnd"/>
            <w:r w:rsidRPr="00A25522">
              <w:t>/э вкладышем и съемным верхним днищем), маркировка бочек с катализатором;</w:t>
            </w:r>
          </w:p>
          <w:p w:rsidR="0068071C" w:rsidRDefault="0068071C" w:rsidP="0068071C">
            <w:pPr>
              <w:numPr>
                <w:ilvl w:val="1"/>
                <w:numId w:val="2"/>
              </w:numPr>
              <w:jc w:val="both"/>
            </w:pPr>
            <w:r w:rsidRPr="00A25522">
              <w:t xml:space="preserve">Формирование партий, отбор средних проб  партий,  проведение </w:t>
            </w:r>
            <w:r>
              <w:t>лабораторных исследований</w:t>
            </w:r>
            <w:r w:rsidRPr="00A25522">
              <w:t xml:space="preserve"> и анализов регенерированного катализатора по следующим показателям:</w:t>
            </w:r>
          </w:p>
          <w:p w:rsidR="0068071C" w:rsidRDefault="0068071C" w:rsidP="008417E0">
            <w:pPr>
              <w:ind w:left="360"/>
              <w:jc w:val="both"/>
            </w:pPr>
            <w:r>
              <w:t>-</w:t>
            </w:r>
            <w:r>
              <w:tab/>
              <w:t>Определение массовой доли серы;</w:t>
            </w:r>
          </w:p>
          <w:p w:rsidR="0068071C" w:rsidRDefault="0068071C" w:rsidP="008417E0">
            <w:pPr>
              <w:ind w:left="360"/>
              <w:jc w:val="both"/>
            </w:pPr>
            <w:r>
              <w:t>-</w:t>
            </w:r>
            <w:r>
              <w:tab/>
              <w:t>Определение массовой доли углерода;</w:t>
            </w:r>
          </w:p>
          <w:p w:rsidR="0068071C" w:rsidRDefault="0068071C" w:rsidP="008417E0">
            <w:pPr>
              <w:ind w:left="360"/>
              <w:jc w:val="both"/>
            </w:pPr>
            <w:r>
              <w:t>-</w:t>
            </w:r>
            <w:r>
              <w:tab/>
              <w:t>Определение массовой доли потерь при прокаливании (при 550°С);</w:t>
            </w:r>
          </w:p>
          <w:p w:rsidR="0068071C" w:rsidRDefault="0068071C" w:rsidP="008417E0">
            <w:pPr>
              <w:ind w:left="360"/>
              <w:jc w:val="both"/>
            </w:pPr>
            <w:r>
              <w:t>-</w:t>
            </w:r>
            <w:r>
              <w:tab/>
              <w:t>Определение удельной поверхности, объема пор, среднего радиуса пор по азоту;</w:t>
            </w:r>
          </w:p>
          <w:p w:rsidR="0068071C" w:rsidRDefault="0068071C" w:rsidP="008417E0">
            <w:pPr>
              <w:ind w:left="360"/>
              <w:jc w:val="both"/>
            </w:pPr>
            <w:r>
              <w:t>-</w:t>
            </w:r>
            <w:r>
              <w:tab/>
              <w:t>Определение размера гранул: длина;</w:t>
            </w:r>
          </w:p>
          <w:p w:rsidR="0068071C" w:rsidRDefault="0068071C" w:rsidP="008417E0">
            <w:pPr>
              <w:ind w:left="360"/>
              <w:jc w:val="both"/>
            </w:pPr>
            <w:r>
              <w:t>-</w:t>
            </w:r>
            <w:r>
              <w:tab/>
              <w:t>Определение массовой доли частиц размером менее 1 мм;</w:t>
            </w:r>
          </w:p>
          <w:p w:rsidR="0068071C" w:rsidRDefault="0068071C" w:rsidP="008417E0">
            <w:pPr>
              <w:ind w:left="360"/>
              <w:jc w:val="both"/>
            </w:pPr>
            <w:r>
              <w:t>-</w:t>
            </w:r>
            <w:r>
              <w:tab/>
              <w:t>Определение прочности на раздавливание на плоской плите;</w:t>
            </w:r>
          </w:p>
          <w:p w:rsidR="0068071C" w:rsidRDefault="0068071C" w:rsidP="008417E0">
            <w:pPr>
              <w:ind w:left="360"/>
              <w:jc w:val="both"/>
            </w:pPr>
            <w:r>
              <w:t>-</w:t>
            </w:r>
            <w:r>
              <w:tab/>
              <w:t>Определение объёмной прочности;</w:t>
            </w:r>
          </w:p>
          <w:p w:rsidR="0068071C" w:rsidRPr="00A25522" w:rsidRDefault="0068071C" w:rsidP="008417E0">
            <w:pPr>
              <w:ind w:left="360"/>
              <w:jc w:val="both"/>
            </w:pPr>
            <w:r>
              <w:t>-</w:t>
            </w:r>
            <w:r>
              <w:tab/>
              <w:t>Определение насыпной плотности.</w:t>
            </w:r>
          </w:p>
          <w:p w:rsidR="0068071C" w:rsidRPr="00A25522" w:rsidRDefault="0068071C" w:rsidP="008417E0">
            <w:pPr>
              <w:jc w:val="both"/>
            </w:pPr>
            <w:r w:rsidRPr="00A25522">
              <w:t>Оформление паспортов</w:t>
            </w:r>
            <w:r>
              <w:t xml:space="preserve"> </w:t>
            </w:r>
            <w:r w:rsidRPr="00E6523F">
              <w:rPr>
                <w:color w:val="000000"/>
              </w:rPr>
              <w:t>безопасности</w:t>
            </w:r>
            <w:r w:rsidRPr="00A25522">
              <w:t xml:space="preserve"> на регенерированный катализатор;</w:t>
            </w:r>
          </w:p>
          <w:p w:rsidR="0068071C" w:rsidRDefault="0068071C" w:rsidP="008417E0">
            <w:pPr>
              <w:jc w:val="both"/>
            </w:pPr>
            <w:r>
              <w:t xml:space="preserve">5.5. </w:t>
            </w:r>
            <w:r w:rsidRPr="00A25522">
              <w:t xml:space="preserve">Составление  финального материального баланса   по фактическому весу регенерированного катализатора и продуктов входного и финального  </w:t>
            </w:r>
            <w:r>
              <w:t>рассева</w:t>
            </w:r>
            <w:r w:rsidRPr="00A25522">
              <w:t xml:space="preserve"> с учётом протоколов лабораторных анализов и исследований;</w:t>
            </w:r>
          </w:p>
          <w:p w:rsidR="0068071C" w:rsidRPr="00E6523F" w:rsidRDefault="0068071C" w:rsidP="008417E0">
            <w:pPr>
              <w:ind w:left="16" w:hanging="142"/>
              <w:jc w:val="both"/>
              <w:rPr>
                <w:color w:val="000000"/>
              </w:rPr>
            </w:pPr>
            <w:r w:rsidRPr="00E6523F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5.6</w:t>
            </w:r>
            <w:r w:rsidRPr="00E6523F">
              <w:rPr>
                <w:color w:val="000000"/>
              </w:rPr>
              <w:t>.</w:t>
            </w:r>
            <w:r>
              <w:t xml:space="preserve"> </w:t>
            </w:r>
            <w:r>
              <w:rPr>
                <w:color w:val="000000"/>
              </w:rPr>
              <w:t xml:space="preserve">Хранение  </w:t>
            </w:r>
            <w:r w:rsidRPr="00222DD8">
              <w:rPr>
                <w:color w:val="000000"/>
              </w:rPr>
              <w:t xml:space="preserve">регенерированного катализатора на </w:t>
            </w:r>
            <w:r w:rsidRPr="00222DD8">
              <w:rPr>
                <w:color w:val="000000"/>
              </w:rPr>
              <w:lastRenderedPageBreak/>
              <w:t>складе Исполнителя</w:t>
            </w:r>
            <w:r>
              <w:rPr>
                <w:color w:val="000000"/>
              </w:rPr>
              <w:t>.</w:t>
            </w:r>
          </w:p>
        </w:tc>
      </w:tr>
      <w:tr w:rsidR="0068071C" w:rsidRPr="00404666" w:rsidTr="008417E0">
        <w:trPr>
          <w:trHeight w:val="4674"/>
        </w:trPr>
        <w:tc>
          <w:tcPr>
            <w:tcW w:w="540" w:type="dxa"/>
          </w:tcPr>
          <w:p w:rsidR="0068071C" w:rsidRPr="00404666" w:rsidRDefault="0068071C" w:rsidP="008417E0">
            <w:r w:rsidRPr="00404666">
              <w:lastRenderedPageBreak/>
              <w:t>6.</w:t>
            </w:r>
          </w:p>
        </w:tc>
        <w:tc>
          <w:tcPr>
            <w:tcW w:w="3240" w:type="dxa"/>
          </w:tcPr>
          <w:p w:rsidR="0068071C" w:rsidRPr="00404666" w:rsidRDefault="0068071C" w:rsidP="008417E0">
            <w:pPr>
              <w:rPr>
                <w:b/>
              </w:rPr>
            </w:pPr>
            <w:r w:rsidRPr="00404666">
              <w:rPr>
                <w:b/>
              </w:rPr>
              <w:t xml:space="preserve">Характеристика и объём </w:t>
            </w:r>
            <w:proofErr w:type="spellStart"/>
            <w:r w:rsidRPr="00404666">
              <w:rPr>
                <w:b/>
              </w:rPr>
              <w:t>нерегенерированного</w:t>
            </w:r>
            <w:proofErr w:type="spellEnd"/>
            <w:r w:rsidRPr="00404666">
              <w:rPr>
                <w:b/>
              </w:rPr>
              <w:t xml:space="preserve"> катализатора</w:t>
            </w:r>
          </w:p>
        </w:tc>
        <w:tc>
          <w:tcPr>
            <w:tcW w:w="6120" w:type="dxa"/>
          </w:tcPr>
          <w:p w:rsidR="0068071C" w:rsidRPr="007C0D13" w:rsidRDefault="0068071C" w:rsidP="008417E0">
            <w:pPr>
              <w:jc w:val="both"/>
            </w:pPr>
            <w:r w:rsidRPr="007C0D13">
              <w:t xml:space="preserve">6.1. Катализатор гидроочистки </w:t>
            </w:r>
            <w:proofErr w:type="spellStart"/>
            <w:r w:rsidRPr="007C0D13">
              <w:t>нерегенерированный</w:t>
            </w:r>
            <w:proofErr w:type="spellEnd"/>
            <w:r w:rsidRPr="007C0D13">
              <w:t>, выгруженный Заказчиком в соответствии с требованиями  Технологическая инструкция компании     (подготовка  катализаторов  установки гидроочистки  к выносной  регенерации  и использование   их  после  регенерации  №П1-02.02 ТИ-1607, версия 1.0.)</w:t>
            </w:r>
          </w:p>
          <w:p w:rsidR="0068071C" w:rsidRPr="007C0D13" w:rsidRDefault="0068071C" w:rsidP="008417E0">
            <w:pPr>
              <w:jc w:val="both"/>
            </w:pPr>
            <w:r w:rsidRPr="007C0D13">
              <w:t xml:space="preserve"> 6.2. Марка катализаторов:</w:t>
            </w:r>
          </w:p>
          <w:p w:rsidR="0068071C" w:rsidRPr="007C0D13" w:rsidRDefault="0068071C" w:rsidP="008417E0">
            <w:pPr>
              <w:jc w:val="both"/>
            </w:pPr>
            <w:r w:rsidRPr="007C0D13">
              <w:rPr>
                <w:lang w:val="en-US"/>
              </w:rPr>
              <w:t>KF</w:t>
            </w:r>
            <w:r w:rsidRPr="007C0D13">
              <w:t xml:space="preserve"> 758-1.3</w:t>
            </w:r>
            <w:r w:rsidRPr="007C0D13">
              <w:rPr>
                <w:lang w:val="en-US"/>
              </w:rPr>
              <w:t>Q</w:t>
            </w:r>
            <w:r w:rsidRPr="007C0D13">
              <w:t xml:space="preserve">, </w:t>
            </w:r>
            <w:r w:rsidRPr="007C0D13">
              <w:rPr>
                <w:lang w:val="en-US"/>
              </w:rPr>
              <w:t>HR</w:t>
            </w:r>
            <w:r w:rsidRPr="007C0D13">
              <w:t xml:space="preserve"> 806, </w:t>
            </w:r>
            <w:r w:rsidRPr="007C0D13">
              <w:rPr>
                <w:lang w:val="en-US"/>
              </w:rPr>
              <w:t>HR</w:t>
            </w:r>
            <w:r w:rsidRPr="007C0D13">
              <w:t xml:space="preserve"> 845, ТК-609, ТК-941</w:t>
            </w:r>
          </w:p>
          <w:p w:rsidR="0068071C" w:rsidRPr="007C0D13" w:rsidRDefault="0068071C" w:rsidP="008417E0">
            <w:pPr>
              <w:jc w:val="both"/>
            </w:pPr>
            <w:r w:rsidRPr="007C0D13">
              <w:t>Содержание общей серы подлежит определению по результатам входного контроля, п.5.2. Технического задания (далее ТЗ);</w:t>
            </w:r>
          </w:p>
          <w:p w:rsidR="0068071C" w:rsidRPr="007C0D13" w:rsidRDefault="0068071C" w:rsidP="008417E0">
            <w:pPr>
              <w:jc w:val="both"/>
            </w:pPr>
            <w:r w:rsidRPr="007C0D13">
              <w:t>Содержание общего углерода  подлежит определению по результатам входного контроля, п.5.2. ТЗ;</w:t>
            </w:r>
          </w:p>
          <w:p w:rsidR="0068071C" w:rsidRPr="007C0D13" w:rsidRDefault="0068071C" w:rsidP="008417E0">
            <w:pPr>
              <w:jc w:val="both"/>
            </w:pPr>
            <w:r w:rsidRPr="007C0D13">
              <w:t>Прочность на раздавливание по образующей подлежит определению по результатам входного контроля, п.5.2. ТЗ;</w:t>
            </w:r>
          </w:p>
          <w:p w:rsidR="0068071C" w:rsidRPr="007C0D13" w:rsidRDefault="0068071C" w:rsidP="008417E0">
            <w:pPr>
              <w:jc w:val="both"/>
            </w:pPr>
            <w:r w:rsidRPr="007C0D13">
              <w:t xml:space="preserve">Потери при прокаливании (при 480 </w:t>
            </w:r>
            <w:r w:rsidRPr="007C0D13">
              <w:rPr>
                <w:vertAlign w:val="superscript"/>
              </w:rPr>
              <w:t>0</w:t>
            </w:r>
            <w:r w:rsidRPr="007C0D13">
              <w:t xml:space="preserve">С) подлежит определению по результатам входного контроля, п.5.2. </w:t>
            </w:r>
            <w:proofErr w:type="gramStart"/>
            <w:r w:rsidRPr="007C0D13">
              <w:t>ТЗ;</w:t>
            </w:r>
            <w:proofErr w:type="gramEnd"/>
          </w:p>
          <w:p w:rsidR="0068071C" w:rsidRPr="007C0D13" w:rsidRDefault="0068071C" w:rsidP="008417E0">
            <w:pPr>
              <w:jc w:val="both"/>
            </w:pPr>
            <w:proofErr w:type="gramStart"/>
            <w:r w:rsidRPr="007C0D13">
              <w:t>Насыпной вес  – 720  кг/м</w:t>
            </w:r>
            <w:r w:rsidRPr="007C0D13">
              <w:rPr>
                <w:vertAlign w:val="superscript"/>
              </w:rPr>
              <w:t xml:space="preserve">3  </w:t>
            </w:r>
            <w:r w:rsidRPr="007C0D13">
              <w:t>(подлежит уточнению по результатам входного контроля, п.5.2.</w:t>
            </w:r>
            <w:proofErr w:type="gramEnd"/>
            <w:r w:rsidRPr="007C0D13">
              <w:t xml:space="preserve"> </w:t>
            </w:r>
            <w:proofErr w:type="gramStart"/>
            <w:r w:rsidRPr="007C0D13">
              <w:t>ТЗ);</w:t>
            </w:r>
            <w:proofErr w:type="gramEnd"/>
          </w:p>
          <w:p w:rsidR="0068071C" w:rsidRPr="007C0D13" w:rsidRDefault="0068071C" w:rsidP="008417E0">
            <w:pPr>
              <w:jc w:val="both"/>
            </w:pPr>
            <w:r w:rsidRPr="007C0D13">
              <w:rPr>
                <w:vertAlign w:val="superscript"/>
              </w:rPr>
              <w:t xml:space="preserve">  </w:t>
            </w:r>
            <w:r w:rsidRPr="007C0D13">
              <w:t>6.3. Катализатор упакован   в 200 литровые металлические бочки  в количестве  1800  штук.</w:t>
            </w:r>
          </w:p>
          <w:p w:rsidR="0068071C" w:rsidRPr="007C0D13" w:rsidRDefault="0068071C" w:rsidP="008417E0">
            <w:pPr>
              <w:jc w:val="both"/>
            </w:pPr>
            <w:proofErr w:type="gramStart"/>
            <w:r w:rsidRPr="007C0D13">
              <w:t>Предварительное количество катализатора -   около 300 тонн  (подлежит уточнению по результатам входного контроля, п.5.2.</w:t>
            </w:r>
            <w:proofErr w:type="gramEnd"/>
            <w:r w:rsidRPr="007C0D13">
              <w:t xml:space="preserve"> </w:t>
            </w:r>
            <w:proofErr w:type="gramStart"/>
            <w:r w:rsidRPr="007C0D13">
              <w:t>ТЗ);</w:t>
            </w:r>
            <w:proofErr w:type="gramEnd"/>
          </w:p>
        </w:tc>
      </w:tr>
      <w:tr w:rsidR="0068071C" w:rsidRPr="00404666" w:rsidTr="008417E0">
        <w:tc>
          <w:tcPr>
            <w:tcW w:w="540" w:type="dxa"/>
          </w:tcPr>
          <w:p w:rsidR="0068071C" w:rsidRPr="00404666" w:rsidRDefault="0068071C" w:rsidP="008417E0">
            <w:r w:rsidRPr="00404666">
              <w:t>7</w:t>
            </w:r>
          </w:p>
        </w:tc>
        <w:tc>
          <w:tcPr>
            <w:tcW w:w="3240" w:type="dxa"/>
          </w:tcPr>
          <w:p w:rsidR="0068071C" w:rsidRPr="00404666" w:rsidRDefault="0068071C" w:rsidP="008417E0">
            <w:pPr>
              <w:rPr>
                <w:b/>
              </w:rPr>
            </w:pPr>
            <w:r w:rsidRPr="00404666">
              <w:rPr>
                <w:b/>
              </w:rPr>
              <w:t xml:space="preserve">Требования </w:t>
            </w:r>
            <w:r>
              <w:rPr>
                <w:b/>
              </w:rPr>
              <w:t xml:space="preserve"> к</w:t>
            </w:r>
            <w:r w:rsidRPr="00404666">
              <w:rPr>
                <w:b/>
              </w:rPr>
              <w:t xml:space="preserve"> регенерированно</w:t>
            </w:r>
            <w:r>
              <w:rPr>
                <w:b/>
              </w:rPr>
              <w:t xml:space="preserve">му </w:t>
            </w:r>
            <w:r w:rsidRPr="00404666">
              <w:rPr>
                <w:b/>
              </w:rPr>
              <w:t>катализатор</w:t>
            </w:r>
            <w:r>
              <w:rPr>
                <w:b/>
              </w:rPr>
              <w:t>у</w:t>
            </w:r>
            <w:r w:rsidRPr="00404666">
              <w:rPr>
                <w:b/>
              </w:rPr>
              <w:t xml:space="preserve"> </w:t>
            </w:r>
          </w:p>
        </w:tc>
        <w:tc>
          <w:tcPr>
            <w:tcW w:w="6120" w:type="dxa"/>
          </w:tcPr>
          <w:p w:rsidR="0068071C" w:rsidRPr="007C0D13" w:rsidRDefault="0068071C" w:rsidP="008417E0">
            <w:pPr>
              <w:jc w:val="both"/>
            </w:pPr>
            <w:r w:rsidRPr="007C0D13">
              <w:t>Гарантии Исполнителя:</w:t>
            </w:r>
          </w:p>
          <w:p w:rsidR="0068071C" w:rsidRPr="007C0D13" w:rsidRDefault="0068071C" w:rsidP="008417E0">
            <w:pPr>
              <w:jc w:val="both"/>
            </w:pPr>
            <w:r w:rsidRPr="007C0D13">
              <w:t xml:space="preserve">Исполнитель   гарантирует, что после проведения регенерации качество катализатора будет соответствовать следующим требованиям:  </w:t>
            </w:r>
          </w:p>
          <w:p w:rsidR="0068071C" w:rsidRPr="007C0D13" w:rsidRDefault="0068071C" w:rsidP="008417E0">
            <w:pPr>
              <w:jc w:val="both"/>
            </w:pPr>
            <w:r w:rsidRPr="007C0D13">
              <w:t xml:space="preserve">- Остаточная массовая доля углерода – не более </w:t>
            </w:r>
            <w:r w:rsidRPr="00190266">
              <w:t>0,5</w:t>
            </w:r>
            <w:r w:rsidRPr="007C0D13">
              <w:t>%;</w:t>
            </w:r>
          </w:p>
          <w:p w:rsidR="0068071C" w:rsidRPr="007C0D13" w:rsidRDefault="0068071C" w:rsidP="008417E0">
            <w:pPr>
              <w:jc w:val="both"/>
            </w:pPr>
            <w:r w:rsidRPr="007C0D13">
              <w:t>- Остаточная массовая доля серы - не превышающее более чем на 0,5 % масс</w:t>
            </w:r>
            <w:proofErr w:type="gramStart"/>
            <w:r w:rsidRPr="007C0D13">
              <w:t>.</w:t>
            </w:r>
            <w:proofErr w:type="gramEnd"/>
            <w:r w:rsidRPr="007C0D13">
              <w:t xml:space="preserve"> </w:t>
            </w:r>
            <w:proofErr w:type="gramStart"/>
            <w:r w:rsidRPr="007C0D13">
              <w:t>с</w:t>
            </w:r>
            <w:proofErr w:type="gramEnd"/>
            <w:r w:rsidRPr="007C0D13">
              <w:t>одержание серы на образце катализатора, регенерированного в лабораторных условиях;</w:t>
            </w:r>
          </w:p>
          <w:p w:rsidR="0068071C" w:rsidRPr="007C0D13" w:rsidRDefault="0068071C" w:rsidP="008417E0">
            <w:pPr>
              <w:jc w:val="both"/>
            </w:pPr>
            <w:r w:rsidRPr="007C0D13">
              <w:t>- Площадь удельной поверхности, м</w:t>
            </w:r>
            <w:proofErr w:type="gramStart"/>
            <w:r w:rsidRPr="007C0D13">
              <w:rPr>
                <w:vertAlign w:val="superscript"/>
              </w:rPr>
              <w:t>2</w:t>
            </w:r>
            <w:proofErr w:type="gramEnd"/>
            <w:r w:rsidRPr="007C0D13">
              <w:t>/г, не менее 90 % от данных лабораторной регенерации;</w:t>
            </w:r>
          </w:p>
          <w:p w:rsidR="0068071C" w:rsidRPr="007C0D13" w:rsidRDefault="0068071C" w:rsidP="008417E0">
            <w:pPr>
              <w:jc w:val="both"/>
            </w:pPr>
            <w:r w:rsidRPr="007C0D13">
              <w:t>- Прочность на раздавливание на плоской плите, кгс/</w:t>
            </w:r>
            <w:proofErr w:type="gramStart"/>
            <w:r w:rsidRPr="007C0D13">
              <w:t>мм</w:t>
            </w:r>
            <w:proofErr w:type="gramEnd"/>
            <w:r w:rsidRPr="007C0D13">
              <w:t xml:space="preserve"> не менее 90 % от данных лабораторной регенерации.</w:t>
            </w:r>
          </w:p>
          <w:p w:rsidR="0068071C" w:rsidRDefault="0068071C" w:rsidP="008417E0">
            <w:pPr>
              <w:jc w:val="both"/>
            </w:pPr>
            <w:r w:rsidRPr="007C0D13">
              <w:t xml:space="preserve">- массовая доля пыли (фракция менее 1 мм), не более 2 %. </w:t>
            </w:r>
          </w:p>
          <w:p w:rsidR="0068071C" w:rsidRPr="00E17F51" w:rsidRDefault="0068071C" w:rsidP="008417E0">
            <w:pPr>
              <w:jc w:val="both"/>
              <w:rPr>
                <w:b/>
              </w:rPr>
            </w:pPr>
            <w:r w:rsidRPr="00E17F51">
              <w:rPr>
                <w:b/>
              </w:rPr>
              <w:t>- массовая доля пыли (фракция менее 1 мм), не более 1 %.</w:t>
            </w:r>
          </w:p>
          <w:p w:rsidR="0068071C" w:rsidRPr="007C0D13" w:rsidRDefault="0068071C" w:rsidP="008417E0">
            <w:pPr>
              <w:jc w:val="both"/>
            </w:pPr>
            <w:r w:rsidRPr="00531C62">
              <w:rPr>
                <w:b/>
                <w:color w:val="000000"/>
              </w:rPr>
              <w:t xml:space="preserve">Исполнитель </w:t>
            </w:r>
            <w:proofErr w:type="gramStart"/>
            <w:r w:rsidRPr="00531C62">
              <w:rPr>
                <w:b/>
                <w:color w:val="000000"/>
              </w:rPr>
              <w:t>предоставляет отчет</w:t>
            </w:r>
            <w:proofErr w:type="gramEnd"/>
            <w:r w:rsidRPr="00531C62">
              <w:rPr>
                <w:b/>
                <w:color w:val="000000"/>
              </w:rPr>
              <w:t xml:space="preserve"> по итогам регенерации.</w:t>
            </w:r>
          </w:p>
        </w:tc>
      </w:tr>
      <w:tr w:rsidR="0068071C" w:rsidRPr="00404666" w:rsidTr="008417E0">
        <w:tc>
          <w:tcPr>
            <w:tcW w:w="540" w:type="dxa"/>
          </w:tcPr>
          <w:p w:rsidR="0068071C" w:rsidRPr="00404666" w:rsidRDefault="0068071C" w:rsidP="008417E0">
            <w:r w:rsidRPr="00404666">
              <w:t>8</w:t>
            </w:r>
          </w:p>
        </w:tc>
        <w:tc>
          <w:tcPr>
            <w:tcW w:w="3240" w:type="dxa"/>
          </w:tcPr>
          <w:p w:rsidR="0068071C" w:rsidRPr="00C034A3" w:rsidRDefault="0068071C" w:rsidP="008417E0">
            <w:pPr>
              <w:rPr>
                <w:b/>
              </w:rPr>
            </w:pPr>
            <w:r w:rsidRPr="00C034A3">
              <w:rPr>
                <w:b/>
              </w:rPr>
              <w:t xml:space="preserve">Особые требования и условия: </w:t>
            </w:r>
          </w:p>
        </w:tc>
        <w:tc>
          <w:tcPr>
            <w:tcW w:w="6120" w:type="dxa"/>
          </w:tcPr>
          <w:p w:rsidR="0068071C" w:rsidRPr="00404666" w:rsidRDefault="0068071C" w:rsidP="008417E0">
            <w:pPr>
              <w:jc w:val="both"/>
            </w:pPr>
            <w:r w:rsidRPr="00404666">
              <w:t xml:space="preserve">8.1. </w:t>
            </w:r>
            <w:r>
              <w:t>До начала работ по регенерации</w:t>
            </w:r>
            <w:r w:rsidRPr="00A25522">
              <w:t xml:space="preserve"> </w:t>
            </w:r>
            <w:r>
              <w:t>Заказчик предоставляет паспорт безопасности на исходный свежий катализатор, находящийся на складе Заказчика</w:t>
            </w:r>
            <w:r w:rsidRPr="00A25522">
              <w:t>;</w:t>
            </w:r>
          </w:p>
          <w:p w:rsidR="0068071C" w:rsidRPr="00404666" w:rsidRDefault="0068071C" w:rsidP="008417E0">
            <w:pPr>
              <w:jc w:val="both"/>
            </w:pPr>
            <w:r w:rsidRPr="00404666">
              <w:t xml:space="preserve">8.2. Погрузка </w:t>
            </w:r>
            <w:proofErr w:type="spellStart"/>
            <w:r w:rsidRPr="00404666">
              <w:t>нерегенерированного</w:t>
            </w:r>
            <w:proofErr w:type="spellEnd"/>
            <w:r w:rsidRPr="00404666">
              <w:t xml:space="preserve"> катализатора </w:t>
            </w:r>
            <w:r>
              <w:t xml:space="preserve"> в автомобильный транспорт Заказчика  </w:t>
            </w:r>
            <w:r w:rsidRPr="00404666">
              <w:t xml:space="preserve"> </w:t>
            </w:r>
            <w:r>
              <w:t xml:space="preserve">на складе Заказчика  </w:t>
            </w:r>
            <w:r w:rsidRPr="00404666">
              <w:t>осуществляется Заказчиком</w:t>
            </w:r>
            <w:r>
              <w:t>;</w:t>
            </w:r>
          </w:p>
          <w:p w:rsidR="0068071C" w:rsidRPr="00404666" w:rsidRDefault="0068071C" w:rsidP="008417E0">
            <w:pPr>
              <w:jc w:val="both"/>
            </w:pPr>
            <w:r w:rsidRPr="00404666">
              <w:t xml:space="preserve">8.3. Погрузка регенерированного катализатора </w:t>
            </w:r>
            <w:r>
              <w:t xml:space="preserve">и </w:t>
            </w:r>
            <w:r w:rsidRPr="00A25522">
              <w:lastRenderedPageBreak/>
              <w:t>продуктов входного и финального  отсева</w:t>
            </w:r>
            <w:r>
              <w:t xml:space="preserve"> на складе Исполнителя в автомобильный транспорт Заказчика осуществляется Исполнителем,  </w:t>
            </w:r>
            <w:r w:rsidRPr="00404666">
              <w:t xml:space="preserve"> </w:t>
            </w:r>
            <w:r>
              <w:t xml:space="preserve">для перевозки до склада Заказчика  </w:t>
            </w:r>
            <w:r w:rsidRPr="00404666">
              <w:t xml:space="preserve">осуществляется </w:t>
            </w:r>
            <w:r>
              <w:t xml:space="preserve"> Заказчиком;</w:t>
            </w:r>
          </w:p>
          <w:p w:rsidR="0068071C" w:rsidRPr="00404666" w:rsidRDefault="0068071C" w:rsidP="008417E0">
            <w:pPr>
              <w:jc w:val="both"/>
            </w:pPr>
            <w:r>
              <w:t>8.4</w:t>
            </w:r>
            <w:r w:rsidRPr="00404666">
              <w:t xml:space="preserve">. Срок проведения регенерации не более </w:t>
            </w:r>
            <w:r w:rsidRPr="005D2B15">
              <w:t xml:space="preserve">90 </w:t>
            </w:r>
            <w:r w:rsidRPr="00404666">
              <w:t>дней</w:t>
            </w:r>
            <w:r>
              <w:t xml:space="preserve"> </w:t>
            </w:r>
            <w:r w:rsidRPr="00404666">
              <w:t xml:space="preserve"> </w:t>
            </w:r>
            <w:r>
              <w:t xml:space="preserve">        </w:t>
            </w:r>
            <w:proofErr w:type="gramStart"/>
            <w:r>
              <w:t>с даты поставки</w:t>
            </w:r>
            <w:proofErr w:type="gramEnd"/>
            <w:r>
              <w:t xml:space="preserve"> </w:t>
            </w:r>
            <w:r w:rsidRPr="00404666">
              <w:t xml:space="preserve"> катализатора</w:t>
            </w:r>
            <w:r>
              <w:t xml:space="preserve"> на  склад Исполнителя;</w:t>
            </w:r>
            <w:r w:rsidRPr="00404666">
              <w:t xml:space="preserve"> </w:t>
            </w:r>
          </w:p>
          <w:p w:rsidR="0068071C" w:rsidRDefault="0068071C" w:rsidP="008417E0">
            <w:pPr>
              <w:jc w:val="both"/>
            </w:pPr>
            <w:r>
              <w:t>8.5. Вес регенерированного катализатора определяющего цену</w:t>
            </w:r>
            <w:r w:rsidRPr="00404666">
              <w:t xml:space="preserve"> </w:t>
            </w:r>
            <w:r>
              <w:t xml:space="preserve">услуг по регенерации 1 тонны </w:t>
            </w:r>
            <w:r w:rsidRPr="00404666">
              <w:t xml:space="preserve">осуществляется по сухому весу </w:t>
            </w:r>
            <w:r>
              <w:t xml:space="preserve">регенерированного катализатора после финального отсева. </w:t>
            </w:r>
          </w:p>
          <w:p w:rsidR="0068071C" w:rsidRPr="00404666" w:rsidRDefault="0068071C" w:rsidP="008417E0">
            <w:pPr>
              <w:jc w:val="both"/>
            </w:pPr>
            <w:r>
              <w:t>8.6.  В   цену услуг по регенерации включается содержание ≤ 5 % продуктов входного рассева (</w:t>
            </w:r>
            <w:r w:rsidRPr="00C24F65">
              <w:t>крошки, пыли и инертных материалов</w:t>
            </w:r>
            <w:r>
              <w:t>). В случае превышения содержания   продуктов входного рассева (</w:t>
            </w:r>
            <w:r w:rsidRPr="00C24F65">
              <w:t>крошки, пыли и инертных материалов</w:t>
            </w:r>
            <w:r>
              <w:t xml:space="preserve">)  свыше 5 %, Заказчик компенсирует дополнительные затраты Исполнителю  в размере </w:t>
            </w:r>
            <w:r w:rsidRPr="0033460F">
              <w:t xml:space="preserve">за 1 </w:t>
            </w:r>
            <w:r>
              <w:t xml:space="preserve">тонну  просеянного катализатора в размере   </w:t>
            </w:r>
            <w:r w:rsidRPr="0033460F">
              <w:t>21 338,05</w:t>
            </w:r>
            <w:r>
              <w:t xml:space="preserve"> </w:t>
            </w:r>
            <w:r w:rsidRPr="0033460F">
              <w:t xml:space="preserve">руб. без НДС </w:t>
            </w:r>
            <w:r>
              <w:t>сверх 5% определяемого в соответствии с п.5.3. настоящего Технического Задания;</w:t>
            </w:r>
          </w:p>
          <w:p w:rsidR="0068071C" w:rsidRPr="00CF0785" w:rsidRDefault="0068071C" w:rsidP="008417E0">
            <w:pPr>
              <w:jc w:val="both"/>
              <w:rPr>
                <w:color w:val="FF0000"/>
              </w:rPr>
            </w:pPr>
            <w:r w:rsidRPr="00676753">
              <w:t>8.</w:t>
            </w:r>
            <w:r>
              <w:t>7</w:t>
            </w:r>
            <w:r w:rsidRPr="00676753">
              <w:t>.</w:t>
            </w:r>
            <w:r>
              <w:rPr>
                <w:color w:val="FF0000"/>
              </w:rPr>
              <w:t xml:space="preserve"> </w:t>
            </w:r>
            <w:proofErr w:type="gramStart"/>
            <w:r w:rsidRPr="00676753">
              <w:t>Тара</w:t>
            </w:r>
            <w:r>
              <w:t xml:space="preserve"> </w:t>
            </w:r>
            <w:r w:rsidRPr="00A25522">
              <w:t>(боч</w:t>
            </w:r>
            <w:r>
              <w:t>ки</w:t>
            </w:r>
            <w:r w:rsidRPr="00A25522">
              <w:t xml:space="preserve">, </w:t>
            </w:r>
            <w:proofErr w:type="spellStart"/>
            <w:r w:rsidRPr="00A25522">
              <w:t>спецемкост</w:t>
            </w:r>
            <w:r>
              <w:t>и</w:t>
            </w:r>
            <w:proofErr w:type="spellEnd"/>
            <w:r>
              <w:t xml:space="preserve">, </w:t>
            </w:r>
            <w:r w:rsidRPr="00A25522">
              <w:t>поддон</w:t>
            </w:r>
            <w:r>
              <w:t>ы)</w:t>
            </w:r>
            <w:r w:rsidRPr="00676753">
              <w:t xml:space="preserve">, </w:t>
            </w:r>
            <w:r>
              <w:t>отбракованная по результатам входного контроля (п.5.2.</w:t>
            </w:r>
            <w:proofErr w:type="gramEnd"/>
            <w:r>
              <w:t xml:space="preserve"> </w:t>
            </w:r>
            <w:proofErr w:type="gramStart"/>
            <w:r>
              <w:t>ТЗ) утилизируется Исполнителем.</w:t>
            </w:r>
            <w:proofErr w:type="gramEnd"/>
            <w:r>
              <w:t xml:space="preserve"> При этом необходимое количество тары </w:t>
            </w:r>
            <w:r w:rsidRPr="00676753">
              <w:t>для упаковки</w:t>
            </w:r>
            <w:r>
              <w:rPr>
                <w:color w:val="FF0000"/>
              </w:rPr>
              <w:t xml:space="preserve"> </w:t>
            </w:r>
            <w:r w:rsidRPr="00404666">
              <w:t xml:space="preserve">регенерированного катализатора </w:t>
            </w:r>
            <w:r>
              <w:t xml:space="preserve">и </w:t>
            </w:r>
            <w:r w:rsidRPr="00A25522">
              <w:t>продуктов входного и финального  отсева</w:t>
            </w:r>
            <w:r>
              <w:t xml:space="preserve"> приобретаются Исполнителем за свой счёт  и в последующем </w:t>
            </w:r>
            <w:r w:rsidRPr="00A25522">
              <w:t xml:space="preserve"> </w:t>
            </w:r>
            <w:r>
              <w:t>оплачиваются</w:t>
            </w:r>
            <w:r w:rsidRPr="00A25522">
              <w:t xml:space="preserve"> </w:t>
            </w:r>
            <w:proofErr w:type="gramStart"/>
            <w:r>
              <w:t>в соответствии с  фактическими затратами  Исполнителя сверх стоимости услуг  по регенерации по технологии</w:t>
            </w:r>
            <w:proofErr w:type="gramEnd"/>
            <w:r>
              <w:t xml:space="preserve"> и оборудовании Исполнителя;</w:t>
            </w:r>
          </w:p>
        </w:tc>
      </w:tr>
      <w:tr w:rsidR="0068071C" w:rsidRPr="00404666" w:rsidTr="008417E0">
        <w:tc>
          <w:tcPr>
            <w:tcW w:w="540" w:type="dxa"/>
          </w:tcPr>
          <w:p w:rsidR="0068071C" w:rsidRPr="00404666" w:rsidRDefault="0068071C" w:rsidP="008417E0">
            <w:r w:rsidRPr="00404666">
              <w:lastRenderedPageBreak/>
              <w:t>9.</w:t>
            </w:r>
          </w:p>
        </w:tc>
        <w:tc>
          <w:tcPr>
            <w:tcW w:w="3240" w:type="dxa"/>
          </w:tcPr>
          <w:p w:rsidR="0068071C" w:rsidRPr="00404666" w:rsidRDefault="0068071C" w:rsidP="008417E0">
            <w:pPr>
              <w:rPr>
                <w:b/>
              </w:rPr>
            </w:pPr>
            <w:r w:rsidRPr="00404666">
              <w:rPr>
                <w:b/>
              </w:rPr>
              <w:t xml:space="preserve">Условия </w:t>
            </w:r>
            <w:r>
              <w:rPr>
                <w:b/>
              </w:rPr>
              <w:t xml:space="preserve">и сроки </w:t>
            </w:r>
            <w:r w:rsidRPr="00404666">
              <w:rPr>
                <w:b/>
              </w:rPr>
              <w:t>оплаты</w:t>
            </w:r>
          </w:p>
        </w:tc>
        <w:tc>
          <w:tcPr>
            <w:tcW w:w="6120" w:type="dxa"/>
          </w:tcPr>
          <w:p w:rsidR="0068071C" w:rsidRPr="00404666" w:rsidRDefault="0068071C" w:rsidP="008417E0">
            <w:pPr>
              <w:jc w:val="both"/>
            </w:pPr>
            <w:r w:rsidRPr="00404666">
              <w:t xml:space="preserve">В соответствии с </w:t>
            </w:r>
            <w:r>
              <w:t xml:space="preserve">условиями шаблона договора, предусмотренного  </w:t>
            </w:r>
            <w:r w:rsidRPr="00404666">
              <w:t>закупочной документацией.</w:t>
            </w:r>
            <w:r>
              <w:t xml:space="preserve"> </w:t>
            </w:r>
          </w:p>
        </w:tc>
      </w:tr>
      <w:tr w:rsidR="0068071C" w:rsidRPr="00404666" w:rsidTr="008417E0">
        <w:tc>
          <w:tcPr>
            <w:tcW w:w="540" w:type="dxa"/>
          </w:tcPr>
          <w:p w:rsidR="0068071C" w:rsidRPr="00404666" w:rsidRDefault="0068071C" w:rsidP="008417E0">
            <w:r w:rsidRPr="00404666">
              <w:t>10.</w:t>
            </w:r>
          </w:p>
        </w:tc>
        <w:tc>
          <w:tcPr>
            <w:tcW w:w="3240" w:type="dxa"/>
          </w:tcPr>
          <w:p w:rsidR="0068071C" w:rsidRDefault="0068071C" w:rsidP="008417E0">
            <w:pPr>
              <w:rPr>
                <w:b/>
              </w:rPr>
            </w:pPr>
            <w:r>
              <w:rPr>
                <w:b/>
              </w:rPr>
              <w:t xml:space="preserve">Исполнитель:  </w:t>
            </w:r>
          </w:p>
          <w:p w:rsidR="0068071C" w:rsidRPr="00404666" w:rsidRDefault="0068071C" w:rsidP="008417E0">
            <w:pPr>
              <w:rPr>
                <w:b/>
              </w:rPr>
            </w:pPr>
          </w:p>
        </w:tc>
        <w:tc>
          <w:tcPr>
            <w:tcW w:w="6120" w:type="dxa"/>
          </w:tcPr>
          <w:p w:rsidR="0068071C" w:rsidRDefault="0068071C" w:rsidP="008417E0">
            <w:r w:rsidRPr="00404666">
              <w:t xml:space="preserve"> </w:t>
            </w:r>
            <w:r>
              <w:t>Общество с ограниченной ответственностью «</w:t>
            </w:r>
            <w:proofErr w:type="spellStart"/>
            <w:r>
              <w:t>Новокуйбышевский</w:t>
            </w:r>
            <w:proofErr w:type="spellEnd"/>
            <w:r>
              <w:t xml:space="preserve"> завод катализаторов»</w:t>
            </w:r>
          </w:p>
          <w:p w:rsidR="0068071C" w:rsidRDefault="0068071C" w:rsidP="008417E0">
            <w:r>
              <w:t>Юридический адрес:</w:t>
            </w:r>
          </w:p>
          <w:p w:rsidR="0068071C" w:rsidRDefault="0068071C" w:rsidP="008417E0">
            <w:r>
              <w:t>Российская Федерация, Самарская область, г</w:t>
            </w:r>
            <w:proofErr w:type="gramStart"/>
            <w:r>
              <w:t>.Н</w:t>
            </w:r>
            <w:proofErr w:type="gramEnd"/>
            <w:r>
              <w:t>овокуйбышевск</w:t>
            </w:r>
          </w:p>
          <w:p w:rsidR="0068071C" w:rsidRDefault="0068071C" w:rsidP="008417E0">
            <w:r>
              <w:t>Почтовый адрес:</w:t>
            </w:r>
          </w:p>
          <w:p w:rsidR="0068071C" w:rsidRDefault="0068071C" w:rsidP="008417E0">
            <w:r>
              <w:t>446207, Российская Федерация, Самарская область, г</w:t>
            </w:r>
            <w:proofErr w:type="gramStart"/>
            <w:r>
              <w:t>.Н</w:t>
            </w:r>
            <w:proofErr w:type="gramEnd"/>
            <w:r>
              <w:t xml:space="preserve">овокуйбышевск </w:t>
            </w:r>
          </w:p>
          <w:p w:rsidR="0068071C" w:rsidRDefault="0068071C" w:rsidP="008417E0">
            <w:r>
              <w:t>Телефон/факс: (84635) 3-43-50/(84635) 6-93-46</w:t>
            </w:r>
          </w:p>
          <w:p w:rsidR="0068071C" w:rsidRDefault="0068071C" w:rsidP="008417E0">
            <w:r>
              <w:t>Электронный адрес: SEKR-NZK@nk.rosneft.ru</w:t>
            </w:r>
          </w:p>
          <w:p w:rsidR="0068071C" w:rsidRDefault="0068071C" w:rsidP="008417E0">
            <w:r>
              <w:t>ИНН: 6330016835</w:t>
            </w:r>
          </w:p>
          <w:p w:rsidR="0068071C" w:rsidRDefault="0068071C" w:rsidP="008417E0">
            <w:r>
              <w:t>КПП: 633001001</w:t>
            </w:r>
          </w:p>
          <w:p w:rsidR="0068071C" w:rsidRDefault="0068071C" w:rsidP="008417E0">
            <w:r>
              <w:t>ОГРН: 1026303122405</w:t>
            </w:r>
          </w:p>
          <w:p w:rsidR="0068071C" w:rsidRDefault="0068071C" w:rsidP="008417E0">
            <w:r>
              <w:t>Банковские реквизиты:</w:t>
            </w:r>
          </w:p>
          <w:p w:rsidR="0068071C" w:rsidRDefault="0068071C" w:rsidP="008417E0"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/с 40702 810 60 012 0000 057</w:t>
            </w:r>
          </w:p>
          <w:p w:rsidR="0068071C" w:rsidRDefault="0068071C" w:rsidP="008417E0">
            <w:r>
              <w:t xml:space="preserve">в Самарском филиале   </w:t>
            </w:r>
          </w:p>
          <w:p w:rsidR="0068071C" w:rsidRDefault="0068071C" w:rsidP="008417E0">
            <w:r>
              <w:t xml:space="preserve">АО «Всероссийский Банк Развития Регионов» </w:t>
            </w:r>
          </w:p>
          <w:p w:rsidR="0068071C" w:rsidRDefault="0068071C" w:rsidP="008417E0">
            <w:r>
              <w:t>к/с 30101810400000000876</w:t>
            </w:r>
          </w:p>
          <w:p w:rsidR="0068071C" w:rsidRPr="00404666" w:rsidRDefault="0068071C" w:rsidP="008417E0">
            <w:r>
              <w:t>БИК 043601876 ОКПО 43919676</w:t>
            </w:r>
          </w:p>
        </w:tc>
      </w:tr>
    </w:tbl>
    <w:p w:rsidR="00D722E9" w:rsidRDefault="00D722E9"/>
    <w:sectPr w:rsidR="00D722E9" w:rsidSect="0068071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70A52"/>
    <w:multiLevelType w:val="multilevel"/>
    <w:tmpl w:val="25A224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10149F8"/>
    <w:multiLevelType w:val="hybridMultilevel"/>
    <w:tmpl w:val="5236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71C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71C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6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1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807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8071C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1226</Words>
  <Characters>6993</Characters>
  <Application>Microsoft Office Word</Application>
  <DocSecurity>0</DocSecurity>
  <Lines>58</Lines>
  <Paragraphs>16</Paragraphs>
  <ScaleCrop>false</ScaleCrop>
  <Company>YANOS</Company>
  <LinksUpToDate>false</LinksUpToDate>
  <CharactersWithSpaces>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2016-12-08T09:14:00Z</dcterms:created>
  <dcterms:modified xsi:type="dcterms:W3CDTF">2016-12-08T09:15:00Z</dcterms:modified>
</cp:coreProperties>
</file>